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7F13" w14:textId="77777777" w:rsidR="006A5473" w:rsidRPr="005E2FE0" w:rsidRDefault="006A5473" w:rsidP="00CD77AD">
      <w:pPr>
        <w:spacing w:after="0" w:line="276" w:lineRule="auto"/>
        <w:jc w:val="both"/>
        <w:rPr>
          <w:rFonts w:ascii="Arial" w:hAnsi="Arial" w:cs="Arial"/>
          <w:b/>
          <w:bCs/>
          <w:sz w:val="40"/>
          <w:szCs w:val="40"/>
        </w:rPr>
      </w:pPr>
    </w:p>
    <w:p w14:paraId="32E4A5CF" w14:textId="529D9944" w:rsidR="00987740" w:rsidRDefault="009453A7" w:rsidP="00CD77AD">
      <w:pPr>
        <w:spacing w:after="0" w:line="276" w:lineRule="auto"/>
        <w:rPr>
          <w:rFonts w:ascii="Arial" w:hAnsi="Arial" w:cs="Arial"/>
          <w:b/>
          <w:bCs/>
          <w:sz w:val="32"/>
          <w:szCs w:val="32"/>
        </w:rPr>
      </w:pPr>
      <w:r w:rsidRPr="009453A7">
        <w:rPr>
          <w:rFonts w:ascii="Arial" w:hAnsi="Arial" w:cs="Arial"/>
          <w:b/>
          <w:bCs/>
          <w:sz w:val="32"/>
          <w:szCs w:val="32"/>
        </w:rPr>
        <w:t xml:space="preserve">Pražská energetika otevřela u Kongresového centra </w:t>
      </w:r>
      <w:r w:rsidR="006B52AD">
        <w:rPr>
          <w:rFonts w:ascii="Arial" w:hAnsi="Arial" w:cs="Arial"/>
          <w:b/>
          <w:bCs/>
          <w:sz w:val="32"/>
          <w:szCs w:val="32"/>
        </w:rPr>
        <w:t xml:space="preserve">Praha </w:t>
      </w:r>
      <w:r w:rsidRPr="009453A7">
        <w:rPr>
          <w:rFonts w:ascii="Arial" w:hAnsi="Arial" w:cs="Arial"/>
          <w:b/>
          <w:bCs/>
          <w:sz w:val="32"/>
          <w:szCs w:val="32"/>
        </w:rPr>
        <w:t>největší dobíjecí hub pro elektromobily v</w:t>
      </w:r>
      <w:r w:rsidR="00987740">
        <w:rPr>
          <w:rFonts w:ascii="Arial" w:hAnsi="Arial" w:cs="Arial"/>
          <w:b/>
          <w:bCs/>
          <w:sz w:val="32"/>
          <w:szCs w:val="32"/>
        </w:rPr>
        <w:t> </w:t>
      </w:r>
      <w:r w:rsidRPr="009453A7">
        <w:rPr>
          <w:rFonts w:ascii="Arial" w:hAnsi="Arial" w:cs="Arial"/>
          <w:b/>
          <w:bCs/>
          <w:sz w:val="32"/>
          <w:szCs w:val="32"/>
        </w:rPr>
        <w:t>Praze</w:t>
      </w:r>
    </w:p>
    <w:p w14:paraId="3F0FCDC0" w14:textId="77777777" w:rsidR="006B52AD" w:rsidRDefault="006B52AD" w:rsidP="00CD77A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C53430" w14:textId="030DAF6E" w:rsidR="004934AB" w:rsidRPr="009E4029" w:rsidRDefault="004934AB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E4029">
        <w:rPr>
          <w:rFonts w:ascii="Arial" w:hAnsi="Arial" w:cs="Arial"/>
          <w:sz w:val="20"/>
          <w:szCs w:val="20"/>
        </w:rPr>
        <w:t>Praha – 20. června 2022</w:t>
      </w:r>
    </w:p>
    <w:p w14:paraId="16A00F74" w14:textId="77777777" w:rsidR="004934AB" w:rsidRPr="004934AB" w:rsidRDefault="004934AB" w:rsidP="00CD77A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934AB">
        <w:rPr>
          <w:rFonts w:ascii="Arial" w:hAnsi="Arial" w:cs="Arial"/>
          <w:b/>
          <w:bCs/>
          <w:sz w:val="20"/>
          <w:szCs w:val="20"/>
        </w:rPr>
        <w:t>Hlavní město Praha má nový městský dobíjecí hub pro dobíjení elektromobilů. Pražská energetika zprovoznila na parkovišti u Kongresového centra Praha soustavu osmi veřejných dobíjecích stanic, které umožní dobíjet současně až 15 elektromobilů. Jde tak o největší dobíjecí místo na území hlavního města Prahy.</w:t>
      </w:r>
    </w:p>
    <w:p w14:paraId="157D8087" w14:textId="77777777" w:rsidR="004934AB" w:rsidRPr="004934AB" w:rsidRDefault="004934AB" w:rsidP="00CD77A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B8750B" w14:textId="4B59A538" w:rsidR="004934AB" w:rsidRPr="004934AB" w:rsidRDefault="004934AB" w:rsidP="00CD77A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934AB">
        <w:rPr>
          <w:rFonts w:ascii="Arial" w:hAnsi="Arial" w:cs="Arial"/>
          <w:b/>
          <w:bCs/>
          <w:sz w:val="20"/>
          <w:szCs w:val="20"/>
        </w:rPr>
        <w:t xml:space="preserve">Majitelé elektromobilů mohou k dobíjení využít jednu stanici typu </w:t>
      </w:r>
      <w:proofErr w:type="spellStart"/>
      <w:r w:rsidRPr="004934AB">
        <w:rPr>
          <w:rFonts w:ascii="Arial" w:hAnsi="Arial" w:cs="Arial"/>
          <w:b/>
          <w:bCs/>
          <w:sz w:val="20"/>
          <w:szCs w:val="20"/>
        </w:rPr>
        <w:t>Hypercharger</w:t>
      </w:r>
      <w:proofErr w:type="spellEnd"/>
      <w:r w:rsidRPr="004934A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934AB">
        <w:rPr>
          <w:rFonts w:ascii="Arial" w:hAnsi="Arial" w:cs="Arial"/>
          <w:b/>
          <w:bCs/>
          <w:sz w:val="20"/>
          <w:szCs w:val="20"/>
        </w:rPr>
        <w:t>Alpitronic</w:t>
      </w:r>
      <w:proofErr w:type="spellEnd"/>
      <w:r w:rsidRPr="004934AB">
        <w:rPr>
          <w:rFonts w:ascii="Arial" w:hAnsi="Arial" w:cs="Arial"/>
          <w:b/>
          <w:bCs/>
          <w:sz w:val="20"/>
          <w:szCs w:val="20"/>
        </w:rPr>
        <w:t xml:space="preserve"> s výkonem 75 kW a 7 dalších takzvaných AC stanic s výkonem 22 kW. </w:t>
      </w:r>
    </w:p>
    <w:p w14:paraId="14CFACFC" w14:textId="77777777" w:rsidR="004934AB" w:rsidRDefault="004934AB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ABDF99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01959216"/>
      <w:r w:rsidRPr="00DF0892">
        <w:rPr>
          <w:rFonts w:ascii="Arial" w:hAnsi="Arial" w:cs="Arial"/>
          <w:sz w:val="20"/>
          <w:szCs w:val="20"/>
        </w:rPr>
        <w:t>Tento nový městský dobíjecí hub vznikl díky podpoře Ministerstva dopravy. Spolufinancován byl z Operačního programu Doprava – projektu Metropolitní síť II.</w:t>
      </w:r>
    </w:p>
    <w:p w14:paraId="3BADE924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D5EDF6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0892">
        <w:rPr>
          <w:rFonts w:ascii="Arial" w:hAnsi="Arial" w:cs="Arial"/>
          <w:sz w:val="20"/>
          <w:szCs w:val="20"/>
        </w:rPr>
        <w:t>Sada sedmi AC dobíjecích stanic s výkonem 2 x 22 kW umožní dobíjení až 14 elektromobilů najednou. Doplňuje je také jedna rychlá DC dobíjecí stanice s výkonem 75 kW, která umožní rychlé dobíjení.</w:t>
      </w:r>
    </w:p>
    <w:p w14:paraId="3F16AEB7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4396CBC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0892">
        <w:rPr>
          <w:rFonts w:ascii="Arial" w:hAnsi="Arial" w:cs="Arial"/>
          <w:sz w:val="20"/>
          <w:szCs w:val="20"/>
        </w:rPr>
        <w:t xml:space="preserve">Kongresové centrum Praha tímto projektem rozšířilo své služby také v oblasti bezemisní dopravy. Dobíjecí hub je umístěn téměř v samotném srdci Prahy, v blízkosti severojižní magistrály, ale i stanice metra Vyšehrad. </w:t>
      </w:r>
    </w:p>
    <w:p w14:paraId="0A0D425D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B7AA00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6535B">
        <w:rPr>
          <w:rFonts w:ascii="Arial" w:hAnsi="Arial" w:cs="Arial"/>
          <w:i/>
          <w:iCs/>
          <w:sz w:val="20"/>
          <w:szCs w:val="20"/>
        </w:rPr>
        <w:t>„Elektromobilita, zvláště v hlavním městě Praze a obecně v městských aglomeracích, přispívá k lepšímu životnímu prostředí. Pražská energetika již 10 let investuje do výstavby dobíjecí infrastruktury. Patříme v této oblasti k lídrům na trhu. Zprovoznili jsme bezmála již 380 dobíjecích stanic nejen v Praze, ale budujeme i páteřní síť po celé České republice. Do budoucna budeme určitě ve výstavbě dobíjecích stanic pokračovat, protože význam elektromobility bude dále narůstat,“</w:t>
      </w:r>
      <w:r w:rsidRPr="00DF0892">
        <w:rPr>
          <w:rFonts w:ascii="Arial" w:hAnsi="Arial" w:cs="Arial"/>
          <w:sz w:val="20"/>
          <w:szCs w:val="20"/>
        </w:rPr>
        <w:t xml:space="preserve"> říká Pavel Elis, předseda představenstva a generální ředitel PRE.</w:t>
      </w:r>
    </w:p>
    <w:p w14:paraId="56018F06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D8CEE5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30EC6">
        <w:rPr>
          <w:rFonts w:ascii="Arial" w:hAnsi="Arial" w:cs="Arial"/>
          <w:i/>
          <w:iCs/>
          <w:sz w:val="20"/>
          <w:szCs w:val="20"/>
        </w:rPr>
        <w:t xml:space="preserve">„KCP prošlo kompletní transformací energetického systému v celé budově, využíváme </w:t>
      </w:r>
      <w:proofErr w:type="spellStart"/>
      <w:r w:rsidRPr="00830EC6">
        <w:rPr>
          <w:rFonts w:ascii="Arial" w:hAnsi="Arial" w:cs="Arial"/>
          <w:i/>
          <w:iCs/>
          <w:sz w:val="20"/>
          <w:szCs w:val="20"/>
        </w:rPr>
        <w:t>smart</w:t>
      </w:r>
      <w:proofErr w:type="spellEnd"/>
      <w:r w:rsidRPr="00830EC6">
        <w:rPr>
          <w:rFonts w:ascii="Arial" w:hAnsi="Arial" w:cs="Arial"/>
          <w:i/>
          <w:iCs/>
          <w:sz w:val="20"/>
          <w:szCs w:val="20"/>
        </w:rPr>
        <w:t xml:space="preserve"> technologie, plánujeme projekt instalace fotovoltaiky na střeše, pořádáme udržitelné kongresy. Koncepci </w:t>
      </w:r>
      <w:r w:rsidRPr="00EA01F1">
        <w:rPr>
          <w:rFonts w:ascii="Arial" w:hAnsi="Arial" w:cs="Arial"/>
          <w:b/>
          <w:bCs/>
          <w:i/>
          <w:iCs/>
          <w:sz w:val="20"/>
          <w:szCs w:val="20"/>
        </w:rPr>
        <w:t>Zelené KCP</w:t>
      </w:r>
      <w:r w:rsidRPr="00830EC6">
        <w:rPr>
          <w:rFonts w:ascii="Arial" w:hAnsi="Arial" w:cs="Arial"/>
          <w:i/>
          <w:iCs/>
          <w:sz w:val="20"/>
          <w:szCs w:val="20"/>
        </w:rPr>
        <w:t xml:space="preserve"> přetváříme do reálného života a nový dobíjecí hub je dalším důkazem. Majitelé elektromobilů mohou využít čas strávený na akcích v KCP i k nabití svého auta nebo přímo u nás přesednout na metro a pokračovat do centra Prahy rychle, ale hlavně bez emisí,“</w:t>
      </w:r>
      <w:r w:rsidRPr="00DF0892">
        <w:rPr>
          <w:rFonts w:ascii="Arial" w:hAnsi="Arial" w:cs="Arial"/>
          <w:sz w:val="20"/>
          <w:szCs w:val="20"/>
        </w:rPr>
        <w:t xml:space="preserve"> doplňuje Lenka Žlebková, generální ředitelka Kongresového centra Praha. </w:t>
      </w:r>
    </w:p>
    <w:p w14:paraId="5C85E861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30AC21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B448F">
        <w:rPr>
          <w:rFonts w:ascii="Arial" w:hAnsi="Arial" w:cs="Arial"/>
          <w:i/>
          <w:iCs/>
          <w:sz w:val="20"/>
          <w:szCs w:val="20"/>
        </w:rPr>
        <w:t>„Pražská energetika dlouhodobě pracuje na tom, aby byla veřejná dobíjecí infrastruktura dostupná rovnoměrně napříč v celém hlavním městě. Jsem moc rád, že jsme mohli ve spolupráci s Kongresovým centrem Praha nabídnout Pražanům i návštěvníkům metropole veřejné dobíjení v tomto strategickém místě. Zároveň jsem moc rád, že prvním testem tohoto městského dobíjecího hubu PRE budou právě elektromobily využívané v rámci předsednictví České republiky v Radě Evropské unie,“</w:t>
      </w:r>
      <w:r w:rsidRPr="00DF0892">
        <w:rPr>
          <w:rFonts w:ascii="Arial" w:hAnsi="Arial" w:cs="Arial"/>
          <w:sz w:val="20"/>
          <w:szCs w:val="20"/>
        </w:rPr>
        <w:t xml:space="preserve"> říká Vojtěch Fried z oddělení Rozvoj elektromobility v PRE.</w:t>
      </w:r>
    </w:p>
    <w:p w14:paraId="1E482E21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1E6E0C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0892">
        <w:rPr>
          <w:rFonts w:ascii="Arial" w:hAnsi="Arial" w:cs="Arial"/>
          <w:sz w:val="20"/>
          <w:szCs w:val="20"/>
        </w:rPr>
        <w:t xml:space="preserve">Do všech dobíječek v síti </w:t>
      </w:r>
      <w:proofErr w:type="spellStart"/>
      <w:r w:rsidRPr="00DF0892">
        <w:rPr>
          <w:rFonts w:ascii="Arial" w:hAnsi="Arial" w:cs="Arial"/>
          <w:sz w:val="20"/>
          <w:szCs w:val="20"/>
        </w:rPr>
        <w:t>PREpoint</w:t>
      </w:r>
      <w:proofErr w:type="spellEnd"/>
      <w:r w:rsidRPr="00DF0892">
        <w:rPr>
          <w:rFonts w:ascii="Arial" w:hAnsi="Arial" w:cs="Arial"/>
          <w:sz w:val="20"/>
          <w:szCs w:val="20"/>
        </w:rPr>
        <w:t xml:space="preserve"> je navíc dodávána stoprocentně zelená energie pocházející z obnovitelných zdrojů. Platba za dobití elektromobilu je možná čipem, případně přes QR kód a platební bránu. K dobíjení je možné využít i čipy smluvních roamingových partnerů. </w:t>
      </w:r>
    </w:p>
    <w:p w14:paraId="747095D4" w14:textId="77777777" w:rsidR="00DF0892" w:rsidRP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A5BF097" w14:textId="77777777" w:rsidR="00DF0892" w:rsidRDefault="00DF0892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F0892">
        <w:rPr>
          <w:rFonts w:ascii="Arial" w:hAnsi="Arial" w:cs="Arial"/>
          <w:sz w:val="20"/>
          <w:szCs w:val="20"/>
        </w:rPr>
        <w:t xml:space="preserve">Pro uživatelsky příjemnou obsluhu dobíjecích stanic má Pražská energetika také moderní mobilní aplikaci </w:t>
      </w:r>
      <w:proofErr w:type="spellStart"/>
      <w:r w:rsidRPr="00DF0892">
        <w:rPr>
          <w:rFonts w:ascii="Arial" w:hAnsi="Arial" w:cs="Arial"/>
          <w:sz w:val="20"/>
          <w:szCs w:val="20"/>
        </w:rPr>
        <w:t>PREcharge</w:t>
      </w:r>
      <w:proofErr w:type="spellEnd"/>
      <w:r w:rsidRPr="00DF0892">
        <w:rPr>
          <w:rFonts w:ascii="Arial" w:hAnsi="Arial" w:cs="Arial"/>
          <w:sz w:val="20"/>
          <w:szCs w:val="20"/>
        </w:rPr>
        <w:t xml:space="preserve">, jejíž velkou výhodou je možnost vyhledávání dobíjecích stanic </w:t>
      </w:r>
      <w:proofErr w:type="spellStart"/>
      <w:r w:rsidRPr="00DF0892">
        <w:rPr>
          <w:rFonts w:ascii="Arial" w:hAnsi="Arial" w:cs="Arial"/>
          <w:sz w:val="20"/>
          <w:szCs w:val="20"/>
        </w:rPr>
        <w:t>PREpoint</w:t>
      </w:r>
      <w:proofErr w:type="spellEnd"/>
      <w:r w:rsidRPr="00DF0892">
        <w:rPr>
          <w:rFonts w:ascii="Arial" w:hAnsi="Arial" w:cs="Arial"/>
          <w:sz w:val="20"/>
          <w:szCs w:val="20"/>
        </w:rPr>
        <w:t xml:space="preserve"> na aktualizované mapě s detailními informacemi o každé stanici včetně jejího výkonu a aktuální dostupnosti.  </w:t>
      </w:r>
    </w:p>
    <w:p w14:paraId="44E206BC" w14:textId="77777777" w:rsidR="00A81112" w:rsidRPr="006A49F6" w:rsidRDefault="00A81112" w:rsidP="00CD77A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49F6">
        <w:rPr>
          <w:rFonts w:ascii="Arial" w:hAnsi="Arial" w:cs="Arial"/>
          <w:b/>
          <w:bCs/>
          <w:sz w:val="20"/>
          <w:szCs w:val="20"/>
        </w:rPr>
        <w:lastRenderedPageBreak/>
        <w:t xml:space="preserve">PRE zprovoznila první veřejnou dobíjecí stanici již v roce 2011 </w:t>
      </w:r>
    </w:p>
    <w:p w14:paraId="68470813" w14:textId="77777777" w:rsidR="006A49F6" w:rsidRDefault="006A49F6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CC9427" w14:textId="16F8F7CC" w:rsidR="00F33803" w:rsidRPr="006A49F6" w:rsidRDefault="00F33803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A49F6">
        <w:rPr>
          <w:rFonts w:ascii="Arial" w:hAnsi="Arial" w:cs="Arial"/>
          <w:sz w:val="20"/>
          <w:szCs w:val="20"/>
        </w:rPr>
        <w:t xml:space="preserve">PRE </w:t>
      </w:r>
      <w:proofErr w:type="gramStart"/>
      <w:r w:rsidRPr="006A49F6">
        <w:rPr>
          <w:rFonts w:ascii="Arial" w:hAnsi="Arial" w:cs="Arial"/>
          <w:sz w:val="20"/>
          <w:szCs w:val="20"/>
        </w:rPr>
        <w:t>patří</w:t>
      </w:r>
      <w:proofErr w:type="gramEnd"/>
      <w:r w:rsidRPr="006A49F6">
        <w:rPr>
          <w:rFonts w:ascii="Arial" w:hAnsi="Arial" w:cs="Arial"/>
          <w:sz w:val="20"/>
          <w:szCs w:val="20"/>
        </w:rPr>
        <w:t xml:space="preserve"> k průkopníkům výstavby dobíjecích stanic v České republice. Svoji první veřejnou dobíjecí stanici zprovoznila na začátku roku 2011 v Praze na Chodově. </w:t>
      </w:r>
    </w:p>
    <w:p w14:paraId="015C7C88" w14:textId="0E06A25D" w:rsidR="00F33803" w:rsidRPr="006A49F6" w:rsidRDefault="00F33803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221125" w14:textId="34123825" w:rsidR="00F33803" w:rsidRDefault="00F33803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A49F6">
        <w:rPr>
          <w:rFonts w:ascii="Arial" w:hAnsi="Arial" w:cs="Arial"/>
          <w:sz w:val="20"/>
          <w:szCs w:val="20"/>
        </w:rPr>
        <w:t xml:space="preserve">V tuto chvíli má Pražská energetika ve své síti </w:t>
      </w:r>
      <w:proofErr w:type="spellStart"/>
      <w:r w:rsidRPr="006A49F6">
        <w:rPr>
          <w:rFonts w:ascii="Arial" w:hAnsi="Arial" w:cs="Arial"/>
          <w:sz w:val="20"/>
          <w:szCs w:val="20"/>
        </w:rPr>
        <w:t>PREpoint</w:t>
      </w:r>
      <w:proofErr w:type="spellEnd"/>
      <w:r w:rsidRPr="006A49F6">
        <w:rPr>
          <w:rFonts w:ascii="Arial" w:hAnsi="Arial" w:cs="Arial"/>
          <w:sz w:val="20"/>
          <w:szCs w:val="20"/>
        </w:rPr>
        <w:t xml:space="preserve"> v provozu již více než 370 veřejných dobíjecích stanic, u kterých se může najednou dobíjet přes 740 elektromobilů.</w:t>
      </w:r>
    </w:p>
    <w:bookmarkEnd w:id="0"/>
    <w:p w14:paraId="767FC73B" w14:textId="77777777" w:rsidR="00EC20ED" w:rsidRDefault="00EC20ED" w:rsidP="00CD77A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417FC8" w14:textId="16264F61" w:rsidR="005465A0" w:rsidRPr="005465A0" w:rsidRDefault="005465A0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65A0">
        <w:rPr>
          <w:rFonts w:ascii="Arial" w:hAnsi="Arial" w:cs="Arial"/>
          <w:sz w:val="20"/>
          <w:szCs w:val="20"/>
          <w:highlight w:val="yellow"/>
        </w:rPr>
        <w:t>[aktuální fotky]</w:t>
      </w:r>
    </w:p>
    <w:p w14:paraId="0A7BAAAF" w14:textId="77777777" w:rsidR="00EC20ED" w:rsidRDefault="00EC20ED" w:rsidP="00CD77A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829BCA" w14:textId="77777777" w:rsidR="00595595" w:rsidRDefault="00595595" w:rsidP="00CD77AD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0419E6EA" w14:textId="77777777" w:rsidR="00595595" w:rsidRDefault="00595595" w:rsidP="00CD77AD">
      <w:pPr>
        <w:spacing w:after="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8A82300" w14:textId="0B9F94BE" w:rsidR="00FE3ED1" w:rsidRDefault="00A01EC5" w:rsidP="00CD77A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612A0B">
        <w:rPr>
          <w:rFonts w:ascii="Arial" w:hAnsi="Arial" w:cs="Arial"/>
          <w:b/>
          <w:bCs/>
          <w:sz w:val="18"/>
          <w:szCs w:val="18"/>
        </w:rPr>
        <w:t>Kongresové centrum Praha</w:t>
      </w:r>
      <w:r w:rsidRPr="00612A0B">
        <w:rPr>
          <w:rFonts w:ascii="Arial" w:hAnsi="Arial" w:cs="Arial"/>
          <w:sz w:val="18"/>
          <w:szCs w:val="18"/>
        </w:rPr>
        <w:t xml:space="preserve"> je jedním z největších kongresových center v České republice, které</w:t>
      </w:r>
      <w:r w:rsidR="00A319AC" w:rsidRPr="00612A0B">
        <w:rPr>
          <w:rFonts w:ascii="Arial" w:hAnsi="Arial" w:cs="Arial"/>
          <w:sz w:val="18"/>
          <w:szCs w:val="18"/>
        </w:rPr>
        <w:t> </w:t>
      </w:r>
      <w:r w:rsidRPr="00612A0B">
        <w:rPr>
          <w:rFonts w:ascii="Arial" w:hAnsi="Arial" w:cs="Arial"/>
          <w:sz w:val="18"/>
          <w:szCs w:val="18"/>
        </w:rPr>
        <w:t>nabízí 70 sálů a</w:t>
      </w:r>
      <w:r w:rsidR="00404A37" w:rsidRPr="00612A0B">
        <w:rPr>
          <w:rFonts w:ascii="Arial" w:hAnsi="Arial" w:cs="Arial"/>
          <w:sz w:val="18"/>
          <w:szCs w:val="18"/>
        </w:rPr>
        <w:t> </w:t>
      </w:r>
      <w:r w:rsidRPr="00612A0B">
        <w:rPr>
          <w:rFonts w:ascii="Arial" w:hAnsi="Arial" w:cs="Arial"/>
          <w:sz w:val="18"/>
          <w:szCs w:val="18"/>
        </w:rPr>
        <w:t>salónků pro konání akcí od malých konferencí po velké kongresy včetně vybavení na nejvyšší technické úrovni. Výhodou je výborná dopravní dostupnost do blízkého centra města, díky</w:t>
      </w:r>
      <w:r w:rsidR="00A319AC" w:rsidRPr="00612A0B">
        <w:rPr>
          <w:rFonts w:ascii="Arial" w:hAnsi="Arial" w:cs="Arial"/>
          <w:sz w:val="18"/>
          <w:szCs w:val="18"/>
        </w:rPr>
        <w:t> </w:t>
      </w:r>
      <w:r w:rsidRPr="00612A0B">
        <w:rPr>
          <w:rFonts w:ascii="Arial" w:hAnsi="Arial" w:cs="Arial"/>
          <w:sz w:val="18"/>
          <w:szCs w:val="18"/>
        </w:rPr>
        <w:t xml:space="preserve">kterému disponuje krásným výhledem na historickou Prahu. Jeho součástí je i Business Centre Vyšehrad a čtyřhvězdičkový hotel </w:t>
      </w:r>
      <w:proofErr w:type="spellStart"/>
      <w:r w:rsidRPr="00612A0B">
        <w:rPr>
          <w:rFonts w:ascii="Arial" w:hAnsi="Arial" w:cs="Arial"/>
          <w:sz w:val="18"/>
          <w:szCs w:val="18"/>
        </w:rPr>
        <w:t>Holiday</w:t>
      </w:r>
      <w:proofErr w:type="spellEnd"/>
      <w:r w:rsidRPr="00612A0B">
        <w:rPr>
          <w:rFonts w:ascii="Arial" w:hAnsi="Arial" w:cs="Arial"/>
          <w:sz w:val="18"/>
          <w:szCs w:val="18"/>
        </w:rPr>
        <w:t xml:space="preserve"> Inn Prague </w:t>
      </w:r>
      <w:proofErr w:type="spellStart"/>
      <w:r w:rsidRPr="00612A0B">
        <w:rPr>
          <w:rFonts w:ascii="Arial" w:hAnsi="Arial" w:cs="Arial"/>
          <w:sz w:val="18"/>
          <w:szCs w:val="18"/>
        </w:rPr>
        <w:t>Congress</w:t>
      </w:r>
      <w:proofErr w:type="spellEnd"/>
      <w:r w:rsidRPr="00612A0B">
        <w:rPr>
          <w:rFonts w:ascii="Arial" w:hAnsi="Arial" w:cs="Arial"/>
          <w:sz w:val="18"/>
          <w:szCs w:val="18"/>
        </w:rPr>
        <w:t xml:space="preserve"> Centre s kapacitou 254 pokojů. KCP získalo prestižní ocenění </w:t>
      </w:r>
      <w:proofErr w:type="spellStart"/>
      <w:r w:rsidRPr="00612A0B">
        <w:rPr>
          <w:rFonts w:ascii="Arial" w:hAnsi="Arial" w:cs="Arial"/>
          <w:sz w:val="18"/>
          <w:szCs w:val="18"/>
        </w:rPr>
        <w:t>Superbrands</w:t>
      </w:r>
      <w:proofErr w:type="spellEnd"/>
      <w:r w:rsidRPr="00612A0B">
        <w:rPr>
          <w:rFonts w:ascii="Arial" w:hAnsi="Arial" w:cs="Arial"/>
          <w:sz w:val="18"/>
          <w:szCs w:val="18"/>
        </w:rPr>
        <w:t xml:space="preserve"> </w:t>
      </w:r>
      <w:r w:rsidR="0098247B" w:rsidRPr="00612A0B">
        <w:rPr>
          <w:rFonts w:ascii="Arial" w:hAnsi="Arial" w:cs="Arial"/>
          <w:sz w:val="18"/>
          <w:szCs w:val="18"/>
        </w:rPr>
        <w:t xml:space="preserve">několikrát v řadě za sebou </w:t>
      </w:r>
      <w:r w:rsidRPr="00612A0B">
        <w:rPr>
          <w:rFonts w:ascii="Arial" w:hAnsi="Arial" w:cs="Arial"/>
          <w:sz w:val="18"/>
          <w:szCs w:val="18"/>
        </w:rPr>
        <w:t>a certifikát EKO Gold za čerpání energie z obnovitelných zdrojů. Více na</w:t>
      </w:r>
      <w:r w:rsidR="00612A0B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FE3ED1" w:rsidRPr="001D6AD6">
          <w:rPr>
            <w:rStyle w:val="Hypertextovodkaz"/>
            <w:rFonts w:ascii="Arial" w:hAnsi="Arial" w:cs="Arial"/>
            <w:sz w:val="18"/>
            <w:szCs w:val="18"/>
          </w:rPr>
          <w:t>www.praguecc.cz</w:t>
        </w:r>
      </w:hyperlink>
    </w:p>
    <w:p w14:paraId="3E7DDA10" w14:textId="12AB094A" w:rsidR="00A01EC5" w:rsidRPr="00612A0B" w:rsidRDefault="00A01EC5" w:rsidP="00CD77AD">
      <w:pPr>
        <w:spacing w:after="0" w:line="276" w:lineRule="auto"/>
        <w:jc w:val="both"/>
        <w:rPr>
          <w:rStyle w:val="Hypertextovodkaz"/>
          <w:rFonts w:ascii="Arial" w:hAnsi="Arial" w:cs="Arial"/>
          <w:color w:val="auto"/>
          <w:sz w:val="18"/>
          <w:szCs w:val="18"/>
        </w:rPr>
      </w:pPr>
    </w:p>
    <w:p w14:paraId="5CEF0EFB" w14:textId="6CD87A0D" w:rsidR="00BF0742" w:rsidRPr="00612A0B" w:rsidRDefault="00BF0742" w:rsidP="00CD77A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FE3ED1">
        <w:rPr>
          <w:rFonts w:ascii="Arial" w:hAnsi="Arial" w:cs="Arial"/>
          <w:b/>
          <w:bCs/>
          <w:sz w:val="18"/>
          <w:szCs w:val="18"/>
        </w:rPr>
        <w:t>Skupina PRE</w:t>
      </w:r>
      <w:r w:rsidRPr="00612A0B">
        <w:rPr>
          <w:rFonts w:ascii="Arial" w:hAnsi="Arial" w:cs="Arial"/>
          <w:sz w:val="18"/>
          <w:szCs w:val="18"/>
        </w:rPr>
        <w:t xml:space="preserve"> je stabilní a prosperující uskupení v oblasti energetiky s dlouholetou tradicí na českém trhu. Skupina PRE je se svými více než 820 tis. odběrnými místy třetím největším dodavatelem elektřiny v České republice a prostřednictvím své největší dceřiné společnosti </w:t>
      </w:r>
      <w:proofErr w:type="spellStart"/>
      <w:r w:rsidRPr="00612A0B">
        <w:rPr>
          <w:rFonts w:ascii="Arial" w:hAnsi="Arial" w:cs="Arial"/>
          <w:sz w:val="18"/>
          <w:szCs w:val="18"/>
        </w:rPr>
        <w:t>PREdistribuce</w:t>
      </w:r>
      <w:proofErr w:type="spellEnd"/>
      <w:r w:rsidRPr="00612A0B">
        <w:rPr>
          <w:rFonts w:ascii="Arial" w:hAnsi="Arial" w:cs="Arial"/>
          <w:sz w:val="18"/>
          <w:szCs w:val="18"/>
        </w:rPr>
        <w:t xml:space="preserve">, a. s., také provozovatelem nejspolehlivější distribuční sítě v ČR. V rámci své činnosti podporuje využívání moderních technologických řešení a poskytuje poradenství v oblasti zavádění inovativních technologií a dosahování energetických úspor. Mezi základní aktivity Skupiny PRE </w:t>
      </w:r>
      <w:proofErr w:type="gramStart"/>
      <w:r w:rsidRPr="00612A0B">
        <w:rPr>
          <w:rFonts w:ascii="Arial" w:hAnsi="Arial" w:cs="Arial"/>
          <w:sz w:val="18"/>
          <w:szCs w:val="18"/>
        </w:rPr>
        <w:t>patří</w:t>
      </w:r>
      <w:proofErr w:type="gramEnd"/>
      <w:r w:rsidRPr="00612A0B">
        <w:rPr>
          <w:rFonts w:ascii="Arial" w:hAnsi="Arial" w:cs="Arial"/>
          <w:sz w:val="18"/>
          <w:szCs w:val="18"/>
        </w:rPr>
        <w:t xml:space="preserve"> prodej, obchodování s elektřinou a plynem po celém území ČR, distribuce elektřiny, její výroba a doplňkové energetické služby. Další informace naleznete na </w:t>
      </w:r>
      <w:hyperlink r:id="rId12" w:history="1">
        <w:r w:rsidRPr="00612A0B">
          <w:rPr>
            <w:rStyle w:val="Hypertextovodkaz"/>
            <w:rFonts w:ascii="Arial" w:hAnsi="Arial" w:cs="Arial"/>
            <w:sz w:val="18"/>
            <w:szCs w:val="18"/>
          </w:rPr>
          <w:t>www.pre.cz</w:t>
        </w:r>
      </w:hyperlink>
    </w:p>
    <w:p w14:paraId="516CF22E" w14:textId="77777777" w:rsidR="00BF0742" w:rsidRDefault="00BF0742" w:rsidP="00CD77A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62A583FF" w14:textId="77777777" w:rsidR="00595595" w:rsidRDefault="00595595" w:rsidP="00CD77A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109541" w14:textId="01CE4E7B" w:rsidR="004E0B3B" w:rsidRPr="006A5473" w:rsidRDefault="004E0B3B" w:rsidP="00CD77AD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5473">
        <w:rPr>
          <w:rFonts w:ascii="Arial" w:hAnsi="Arial" w:cs="Arial"/>
          <w:b/>
          <w:bCs/>
          <w:sz w:val="20"/>
          <w:szCs w:val="20"/>
        </w:rPr>
        <w:t>Kontakt pro média:</w:t>
      </w:r>
    </w:p>
    <w:p w14:paraId="51ABAA1D" w14:textId="77777777" w:rsidR="00AA5354" w:rsidRDefault="00AA5354" w:rsidP="00CD77A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4E3AA3C6" w14:textId="017A7373" w:rsidR="004E0B3B" w:rsidRPr="00AA5354" w:rsidRDefault="00FE3ED1" w:rsidP="00CD77A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AA5354">
        <w:rPr>
          <w:rFonts w:ascii="Arial" w:hAnsi="Arial" w:cs="Arial"/>
          <w:sz w:val="18"/>
          <w:szCs w:val="18"/>
        </w:rPr>
        <w:t>Radka Turková</w:t>
      </w:r>
    </w:p>
    <w:p w14:paraId="6BB2927D" w14:textId="77777777" w:rsidR="00E849BD" w:rsidRDefault="00E849BD" w:rsidP="00CD77A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849BD">
        <w:rPr>
          <w:rFonts w:ascii="Arial" w:hAnsi="Arial" w:cs="Arial"/>
          <w:sz w:val="18"/>
          <w:szCs w:val="18"/>
        </w:rPr>
        <w:t>Marketing manager</w:t>
      </w:r>
    </w:p>
    <w:p w14:paraId="30724453" w14:textId="4992A1AD" w:rsidR="00FE3ED1" w:rsidRPr="00AA5354" w:rsidRDefault="00E849BD" w:rsidP="00CD77AD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hyperlink r:id="rId13" w:history="1">
        <w:r w:rsidRPr="001D6AD6">
          <w:rPr>
            <w:rStyle w:val="Hypertextovodkaz"/>
            <w:rFonts w:ascii="Arial" w:hAnsi="Arial" w:cs="Arial"/>
            <w:sz w:val="18"/>
            <w:szCs w:val="18"/>
          </w:rPr>
          <w:t>Radka.turkova@praguecc.cz</w:t>
        </w:r>
      </w:hyperlink>
    </w:p>
    <w:p w14:paraId="53CF21A5" w14:textId="7474BE7B" w:rsidR="00986A79" w:rsidRDefault="00B2277C" w:rsidP="00CD77A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2277C">
        <w:rPr>
          <w:rFonts w:ascii="Arial" w:hAnsi="Arial" w:cs="Arial"/>
          <w:sz w:val="18"/>
          <w:szCs w:val="18"/>
        </w:rPr>
        <w:t>+420 739 539 204</w:t>
      </w:r>
    </w:p>
    <w:p w14:paraId="47BA6BEE" w14:textId="77777777" w:rsidR="00986A79" w:rsidRPr="00B30488" w:rsidRDefault="00986A79" w:rsidP="00CD77AD">
      <w:pPr>
        <w:spacing w:after="0" w:line="276" w:lineRule="auto"/>
        <w:jc w:val="both"/>
        <w:rPr>
          <w:rFonts w:ascii="Arial Nova" w:hAnsi="Arial Nova"/>
        </w:rPr>
      </w:pPr>
    </w:p>
    <w:p w14:paraId="55CB72BC" w14:textId="77777777" w:rsidR="00986A79" w:rsidRDefault="00986A79" w:rsidP="00CD77AD">
      <w:pPr>
        <w:spacing w:after="0" w:line="276" w:lineRule="auto"/>
        <w:jc w:val="both"/>
        <w:rPr>
          <w:rFonts w:ascii="Arial Nova" w:hAnsi="Arial Nova"/>
        </w:rPr>
      </w:pPr>
    </w:p>
    <w:p w14:paraId="0DA5248C" w14:textId="77777777" w:rsidR="009E4029" w:rsidRDefault="009E4029" w:rsidP="00CD77AD">
      <w:pPr>
        <w:spacing w:after="0" w:line="276" w:lineRule="auto"/>
        <w:jc w:val="both"/>
        <w:rPr>
          <w:rFonts w:ascii="Arial Nova" w:hAnsi="Arial Nova"/>
        </w:rPr>
      </w:pPr>
    </w:p>
    <w:p w14:paraId="74B1EB8C" w14:textId="77777777" w:rsidR="009E4029" w:rsidRPr="00B30488" w:rsidRDefault="009E4029" w:rsidP="00CD77AD">
      <w:pPr>
        <w:spacing w:after="0" w:line="276" w:lineRule="auto"/>
        <w:jc w:val="both"/>
        <w:rPr>
          <w:rFonts w:ascii="Arial Nova" w:hAnsi="Arial Nova"/>
        </w:rPr>
      </w:pPr>
    </w:p>
    <w:p w14:paraId="78FD7800" w14:textId="77777777" w:rsidR="00986A79" w:rsidRPr="00B30488" w:rsidRDefault="00986A79" w:rsidP="00CD77AD">
      <w:pPr>
        <w:spacing w:after="0" w:line="276" w:lineRule="auto"/>
        <w:jc w:val="both"/>
        <w:rPr>
          <w:rFonts w:ascii="Arial Nova" w:hAnsi="Arial Nova"/>
        </w:rPr>
      </w:pPr>
      <w:r w:rsidRPr="00B30488">
        <w:rPr>
          <w:rFonts w:ascii="Arial Nova" w:hAnsi="Arial Nova"/>
          <w:noProof/>
        </w:rPr>
        <w:drawing>
          <wp:anchor distT="0" distB="0" distL="114300" distR="114300" simplePos="0" relativeHeight="251655680" behindDoc="1" locked="0" layoutInCell="1" allowOverlap="1" wp14:anchorId="2EF192CF" wp14:editId="0499DDF4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735531" cy="415925"/>
            <wp:effectExtent l="0" t="0" r="7620" b="3175"/>
            <wp:wrapTight wrapText="bothSides">
              <wp:wrapPolygon edited="0">
                <wp:start x="0" y="0"/>
                <wp:lineTo x="0" y="20776"/>
                <wp:lineTo x="21264" y="20776"/>
                <wp:lineTo x="21264" y="0"/>
                <wp:lineTo x="0" y="0"/>
              </wp:wrapPolygon>
            </wp:wrapTight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531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488">
        <w:rPr>
          <w:rFonts w:ascii="Arial Nova" w:hAnsi="Arial Nova"/>
          <w:noProof/>
        </w:rPr>
        <w:drawing>
          <wp:anchor distT="0" distB="0" distL="114300" distR="114300" simplePos="0" relativeHeight="251657728" behindDoc="1" locked="0" layoutInCell="1" allowOverlap="1" wp14:anchorId="1DE48973" wp14:editId="6379AFE8">
            <wp:simplePos x="0" y="0"/>
            <wp:positionH relativeFrom="margin">
              <wp:posOffset>2742565</wp:posOffset>
            </wp:positionH>
            <wp:positionV relativeFrom="paragraph">
              <wp:posOffset>13970</wp:posOffset>
            </wp:positionV>
            <wp:extent cx="981710" cy="640080"/>
            <wp:effectExtent l="0" t="0" r="0" b="7620"/>
            <wp:wrapTight wrapText="bothSides">
              <wp:wrapPolygon edited="0">
                <wp:start x="4611" y="2571"/>
                <wp:lineTo x="2096" y="8357"/>
                <wp:lineTo x="1677" y="21214"/>
                <wp:lineTo x="19700" y="21214"/>
                <wp:lineTo x="19281" y="7714"/>
                <wp:lineTo x="16766" y="2571"/>
                <wp:lineTo x="4611" y="2571"/>
              </wp:wrapPolygon>
            </wp:wrapTight>
            <wp:docPr id="1" name="Obrázek 1" descr="E:\Re-Branding\Fast and Simple\PCC_CORPORATE_IDENTITY_GUIDE\PCC_CORPORATE_IDENTITY_GUIDE\1_LOGO\1_01_Logo_Ctvercova_varianta\1_01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E:\Re-Branding\Fast and Simple\PCC_CORPORATE_IDENTITY_GUIDE\PCC_CORPORATE_IDENTITY_GUIDE\1_LOGO\1_01_Logo_Ctvercova_varianta\1_01_Logo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67"/>
                    <a:stretch/>
                  </pic:blipFill>
                  <pic:spPr bwMode="auto">
                    <a:xfrm>
                      <a:off x="0" y="0"/>
                      <a:ext cx="98171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488">
        <w:rPr>
          <w:rFonts w:ascii="Arial Nova" w:hAnsi="Arial Nova"/>
          <w:noProof/>
        </w:rPr>
        <w:drawing>
          <wp:anchor distT="0" distB="0" distL="114300" distR="114300" simplePos="0" relativeHeight="251652608" behindDoc="1" locked="0" layoutInCell="1" allowOverlap="1" wp14:anchorId="4E5E3AC9" wp14:editId="10021341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1810808" cy="416801"/>
            <wp:effectExtent l="0" t="0" r="0" b="2540"/>
            <wp:wrapTight wrapText="bothSides">
              <wp:wrapPolygon edited="0">
                <wp:start x="0" y="0"/>
                <wp:lineTo x="0" y="20744"/>
                <wp:lineTo x="21365" y="20744"/>
                <wp:lineTo x="21365" y="0"/>
                <wp:lineTo x="0" y="0"/>
              </wp:wrapPolygon>
            </wp:wrapTight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8" cy="41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D2111" w14:textId="77777777" w:rsidR="00986A79" w:rsidRPr="00E048CB" w:rsidRDefault="00986A79" w:rsidP="00CD77AD">
      <w:pPr>
        <w:spacing w:after="0" w:line="276" w:lineRule="auto"/>
        <w:jc w:val="both"/>
      </w:pPr>
    </w:p>
    <w:sectPr w:rsidR="00986A79" w:rsidRPr="00E048CB" w:rsidSect="00595595">
      <w:headerReference w:type="first" r:id="rId17"/>
      <w:pgSz w:w="11906" w:h="16838"/>
      <w:pgMar w:top="1135" w:right="1417" w:bottom="709" w:left="1417" w:header="28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C179" w14:textId="77777777" w:rsidR="004C36CD" w:rsidRDefault="004C36CD" w:rsidP="002424E5">
      <w:pPr>
        <w:spacing w:after="0" w:line="240" w:lineRule="auto"/>
      </w:pPr>
      <w:r>
        <w:separator/>
      </w:r>
    </w:p>
  </w:endnote>
  <w:endnote w:type="continuationSeparator" w:id="0">
    <w:p w14:paraId="3F1C57D8" w14:textId="77777777" w:rsidR="004C36CD" w:rsidRDefault="004C36CD" w:rsidP="002424E5">
      <w:pPr>
        <w:spacing w:after="0" w:line="240" w:lineRule="auto"/>
      </w:pPr>
      <w:r>
        <w:continuationSeparator/>
      </w:r>
    </w:p>
  </w:endnote>
  <w:endnote w:type="continuationNotice" w:id="1">
    <w:p w14:paraId="150BFB75" w14:textId="77777777" w:rsidR="004C36CD" w:rsidRDefault="004C3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6152" w14:textId="77777777" w:rsidR="004C36CD" w:rsidRDefault="004C36CD" w:rsidP="002424E5">
      <w:pPr>
        <w:spacing w:after="0" w:line="240" w:lineRule="auto"/>
      </w:pPr>
      <w:r>
        <w:separator/>
      </w:r>
    </w:p>
  </w:footnote>
  <w:footnote w:type="continuationSeparator" w:id="0">
    <w:p w14:paraId="42E9270E" w14:textId="77777777" w:rsidR="004C36CD" w:rsidRDefault="004C36CD" w:rsidP="002424E5">
      <w:pPr>
        <w:spacing w:after="0" w:line="240" w:lineRule="auto"/>
      </w:pPr>
      <w:r>
        <w:continuationSeparator/>
      </w:r>
    </w:p>
  </w:footnote>
  <w:footnote w:type="continuationNotice" w:id="1">
    <w:p w14:paraId="6AF4C3D0" w14:textId="77777777" w:rsidR="004C36CD" w:rsidRDefault="004C36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D95B" w14:textId="77777777" w:rsidR="00A57500" w:rsidRDefault="00A57500">
    <w:pPr>
      <w:pStyle w:val="Zhlav"/>
    </w:pPr>
  </w:p>
  <w:p w14:paraId="73E57469" w14:textId="77777777" w:rsidR="00A57500" w:rsidRDefault="00A57500">
    <w:pPr>
      <w:pStyle w:val="Zhlav"/>
    </w:pPr>
  </w:p>
  <w:p w14:paraId="2AB742A6" w14:textId="77777777" w:rsidR="00A57500" w:rsidRDefault="00A57500">
    <w:pPr>
      <w:pStyle w:val="Zhlav"/>
    </w:pPr>
  </w:p>
  <w:p w14:paraId="356701CF" w14:textId="3B530A55" w:rsidR="00986A79" w:rsidRPr="00A57500" w:rsidRDefault="00A57500" w:rsidP="00A57500">
    <w:pPr>
      <w:spacing w:line="240" w:lineRule="auto"/>
      <w:jc w:val="both"/>
      <w:rPr>
        <w:rFonts w:ascii="Arial" w:hAnsi="Arial" w:cs="Arial"/>
        <w:b/>
        <w:bCs/>
        <w:color w:val="FF3399"/>
        <w:sz w:val="40"/>
        <w:szCs w:val="40"/>
      </w:rPr>
    </w:pPr>
    <w:r w:rsidRPr="005E2FE0">
      <w:rPr>
        <w:rFonts w:ascii="Arial" w:hAnsi="Arial" w:cs="Arial"/>
        <w:b/>
        <w:bCs/>
        <w:color w:val="FF3399"/>
        <w:sz w:val="40"/>
        <w:szCs w:val="40"/>
      </w:rPr>
      <w:t>TISKOVÁ ZPRÁVA</w:t>
    </w:r>
    <w:r w:rsidR="00413216" w:rsidRPr="000D67A5">
      <w:rPr>
        <w:noProof/>
      </w:rPr>
      <w:drawing>
        <wp:anchor distT="0" distB="0" distL="114300" distR="114300" simplePos="0" relativeHeight="251660800" behindDoc="0" locked="0" layoutInCell="1" allowOverlap="1" wp14:anchorId="5FA6C043" wp14:editId="024A51F7">
          <wp:simplePos x="0" y="0"/>
          <wp:positionH relativeFrom="column">
            <wp:posOffset>3524885</wp:posOffset>
          </wp:positionH>
          <wp:positionV relativeFrom="page">
            <wp:posOffset>535158</wp:posOffset>
          </wp:positionV>
          <wp:extent cx="996315" cy="544830"/>
          <wp:effectExtent l="0" t="0" r="0" b="7620"/>
          <wp:wrapNone/>
          <wp:docPr id="57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A79" w:rsidRPr="00C231EE">
      <w:rPr>
        <w:noProof/>
        <w:lang w:eastAsia="cs-CZ"/>
      </w:rPr>
      <w:drawing>
        <wp:anchor distT="0" distB="0" distL="114300" distR="114300" simplePos="0" relativeHeight="251659776" behindDoc="1" locked="0" layoutInCell="1" allowOverlap="1" wp14:anchorId="4C10585E" wp14:editId="751C8C71">
          <wp:simplePos x="0" y="0"/>
          <wp:positionH relativeFrom="margin">
            <wp:posOffset>4710919</wp:posOffset>
          </wp:positionH>
          <wp:positionV relativeFrom="margin">
            <wp:posOffset>-761854</wp:posOffset>
          </wp:positionV>
          <wp:extent cx="1173001" cy="889108"/>
          <wp:effectExtent l="0" t="0" r="0" b="0"/>
          <wp:wrapNone/>
          <wp:docPr id="58" name="Obrázek 58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001" cy="88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4D06"/>
    <w:multiLevelType w:val="hybridMultilevel"/>
    <w:tmpl w:val="4928E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06C6"/>
    <w:multiLevelType w:val="hybridMultilevel"/>
    <w:tmpl w:val="14A6A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2382"/>
    <w:multiLevelType w:val="hybridMultilevel"/>
    <w:tmpl w:val="5AFCC89E"/>
    <w:lvl w:ilvl="0" w:tplc="040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81351"/>
    <w:multiLevelType w:val="hybridMultilevel"/>
    <w:tmpl w:val="9B0CA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6DEB"/>
    <w:multiLevelType w:val="hybridMultilevel"/>
    <w:tmpl w:val="5C6C3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04BEC"/>
    <w:multiLevelType w:val="hybridMultilevel"/>
    <w:tmpl w:val="A3F43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519471">
    <w:abstractNumId w:val="4"/>
  </w:num>
  <w:num w:numId="2" w16cid:durableId="1490363855">
    <w:abstractNumId w:val="1"/>
  </w:num>
  <w:num w:numId="3" w16cid:durableId="421335292">
    <w:abstractNumId w:val="0"/>
  </w:num>
  <w:num w:numId="4" w16cid:durableId="1593247330">
    <w:abstractNumId w:val="5"/>
  </w:num>
  <w:num w:numId="5" w16cid:durableId="1002317825">
    <w:abstractNumId w:val="3"/>
  </w:num>
  <w:num w:numId="6" w16cid:durableId="1533179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bYwtDCyMLU0MTVU0lEKTi0uzszPAykwrgUADivZtCwAAAA="/>
  </w:docVars>
  <w:rsids>
    <w:rsidRoot w:val="008673B4"/>
    <w:rsid w:val="00012236"/>
    <w:rsid w:val="00053612"/>
    <w:rsid w:val="00067742"/>
    <w:rsid w:val="000827AC"/>
    <w:rsid w:val="00091FA9"/>
    <w:rsid w:val="000A0494"/>
    <w:rsid w:val="000B0F99"/>
    <w:rsid w:val="000B1037"/>
    <w:rsid w:val="000B1703"/>
    <w:rsid w:val="000B448F"/>
    <w:rsid w:val="000B4702"/>
    <w:rsid w:val="000D1E15"/>
    <w:rsid w:val="000F4110"/>
    <w:rsid w:val="000F4BC9"/>
    <w:rsid w:val="00103C2F"/>
    <w:rsid w:val="00117CFA"/>
    <w:rsid w:val="0012116E"/>
    <w:rsid w:val="0012740F"/>
    <w:rsid w:val="00137FE1"/>
    <w:rsid w:val="0015461C"/>
    <w:rsid w:val="00196FCD"/>
    <w:rsid w:val="001C3974"/>
    <w:rsid w:val="001D47A9"/>
    <w:rsid w:val="00210FA2"/>
    <w:rsid w:val="00212AF6"/>
    <w:rsid w:val="0021705B"/>
    <w:rsid w:val="00222ED5"/>
    <w:rsid w:val="002424E5"/>
    <w:rsid w:val="00250EBD"/>
    <w:rsid w:val="00255092"/>
    <w:rsid w:val="00256625"/>
    <w:rsid w:val="00281EFA"/>
    <w:rsid w:val="00286F2C"/>
    <w:rsid w:val="002C087F"/>
    <w:rsid w:val="002C61EB"/>
    <w:rsid w:val="002D24FC"/>
    <w:rsid w:val="002E1030"/>
    <w:rsid w:val="002E2BEA"/>
    <w:rsid w:val="002E5D0D"/>
    <w:rsid w:val="0030200E"/>
    <w:rsid w:val="00303AC9"/>
    <w:rsid w:val="00304955"/>
    <w:rsid w:val="00313146"/>
    <w:rsid w:val="00336E77"/>
    <w:rsid w:val="0035364A"/>
    <w:rsid w:val="0036306B"/>
    <w:rsid w:val="003725D6"/>
    <w:rsid w:val="0037276F"/>
    <w:rsid w:val="00377677"/>
    <w:rsid w:val="00395137"/>
    <w:rsid w:val="00397684"/>
    <w:rsid w:val="003A3A1C"/>
    <w:rsid w:val="003B01F2"/>
    <w:rsid w:val="003F5DC2"/>
    <w:rsid w:val="00404A37"/>
    <w:rsid w:val="00413216"/>
    <w:rsid w:val="0041350A"/>
    <w:rsid w:val="00415D2A"/>
    <w:rsid w:val="00425BFF"/>
    <w:rsid w:val="00427046"/>
    <w:rsid w:val="004276CA"/>
    <w:rsid w:val="00434FFB"/>
    <w:rsid w:val="00442CAC"/>
    <w:rsid w:val="00446C2D"/>
    <w:rsid w:val="00464E3F"/>
    <w:rsid w:val="00465909"/>
    <w:rsid w:val="004817A2"/>
    <w:rsid w:val="00481B60"/>
    <w:rsid w:val="00492419"/>
    <w:rsid w:val="004934AB"/>
    <w:rsid w:val="004B61F9"/>
    <w:rsid w:val="004C36CD"/>
    <w:rsid w:val="004E0768"/>
    <w:rsid w:val="004E0B3B"/>
    <w:rsid w:val="005231F7"/>
    <w:rsid w:val="00524FF7"/>
    <w:rsid w:val="00526424"/>
    <w:rsid w:val="00531CF0"/>
    <w:rsid w:val="00533095"/>
    <w:rsid w:val="005465A0"/>
    <w:rsid w:val="0055322C"/>
    <w:rsid w:val="005775C1"/>
    <w:rsid w:val="00595595"/>
    <w:rsid w:val="00597FCA"/>
    <w:rsid w:val="005B3B48"/>
    <w:rsid w:val="005B4BED"/>
    <w:rsid w:val="005D3EDB"/>
    <w:rsid w:val="005E2FE0"/>
    <w:rsid w:val="005E3DEE"/>
    <w:rsid w:val="005F0EDC"/>
    <w:rsid w:val="006077EB"/>
    <w:rsid w:val="00612A0B"/>
    <w:rsid w:val="00615C31"/>
    <w:rsid w:val="006208B3"/>
    <w:rsid w:val="00620B0F"/>
    <w:rsid w:val="00624C2D"/>
    <w:rsid w:val="006325D5"/>
    <w:rsid w:val="0063269D"/>
    <w:rsid w:val="00634000"/>
    <w:rsid w:val="006470DB"/>
    <w:rsid w:val="006550A9"/>
    <w:rsid w:val="006571FD"/>
    <w:rsid w:val="00666CFE"/>
    <w:rsid w:val="00680961"/>
    <w:rsid w:val="00684944"/>
    <w:rsid w:val="00690D80"/>
    <w:rsid w:val="00693750"/>
    <w:rsid w:val="00696A37"/>
    <w:rsid w:val="00696E7C"/>
    <w:rsid w:val="006A49F6"/>
    <w:rsid w:val="006A5473"/>
    <w:rsid w:val="006A7C0A"/>
    <w:rsid w:val="006B52AD"/>
    <w:rsid w:val="006B62EF"/>
    <w:rsid w:val="006C06CE"/>
    <w:rsid w:val="006E69E1"/>
    <w:rsid w:val="006E6AA5"/>
    <w:rsid w:val="006E6E5A"/>
    <w:rsid w:val="007017F9"/>
    <w:rsid w:val="00714557"/>
    <w:rsid w:val="00715143"/>
    <w:rsid w:val="0072251E"/>
    <w:rsid w:val="00724BFA"/>
    <w:rsid w:val="00730683"/>
    <w:rsid w:val="00790CF7"/>
    <w:rsid w:val="007B08EE"/>
    <w:rsid w:val="007C7F96"/>
    <w:rsid w:val="007D23B0"/>
    <w:rsid w:val="007D695B"/>
    <w:rsid w:val="00807DBB"/>
    <w:rsid w:val="008222F8"/>
    <w:rsid w:val="00825897"/>
    <w:rsid w:val="008270D8"/>
    <w:rsid w:val="00827681"/>
    <w:rsid w:val="00830EC6"/>
    <w:rsid w:val="008424AF"/>
    <w:rsid w:val="00852986"/>
    <w:rsid w:val="00864922"/>
    <w:rsid w:val="0086535B"/>
    <w:rsid w:val="008673B4"/>
    <w:rsid w:val="00874CEE"/>
    <w:rsid w:val="0087583C"/>
    <w:rsid w:val="00882971"/>
    <w:rsid w:val="00883F2D"/>
    <w:rsid w:val="00896B39"/>
    <w:rsid w:val="008A4529"/>
    <w:rsid w:val="008A505E"/>
    <w:rsid w:val="008B6EB5"/>
    <w:rsid w:val="008C6011"/>
    <w:rsid w:val="008D4D8C"/>
    <w:rsid w:val="008F0E45"/>
    <w:rsid w:val="008F1C97"/>
    <w:rsid w:val="008F3288"/>
    <w:rsid w:val="008F60FF"/>
    <w:rsid w:val="009151BC"/>
    <w:rsid w:val="00917F3D"/>
    <w:rsid w:val="009401E0"/>
    <w:rsid w:val="0094157E"/>
    <w:rsid w:val="00942E4C"/>
    <w:rsid w:val="009453A7"/>
    <w:rsid w:val="00946B9D"/>
    <w:rsid w:val="0095293B"/>
    <w:rsid w:val="00963260"/>
    <w:rsid w:val="00972042"/>
    <w:rsid w:val="009804EF"/>
    <w:rsid w:val="0098247B"/>
    <w:rsid w:val="00986A79"/>
    <w:rsid w:val="00987740"/>
    <w:rsid w:val="00997F59"/>
    <w:rsid w:val="009C1820"/>
    <w:rsid w:val="009D2B18"/>
    <w:rsid w:val="009E239B"/>
    <w:rsid w:val="009E4029"/>
    <w:rsid w:val="009F475E"/>
    <w:rsid w:val="00A01EC5"/>
    <w:rsid w:val="00A319AC"/>
    <w:rsid w:val="00A35F14"/>
    <w:rsid w:val="00A50A91"/>
    <w:rsid w:val="00A57500"/>
    <w:rsid w:val="00A6491D"/>
    <w:rsid w:val="00A65C29"/>
    <w:rsid w:val="00A747E5"/>
    <w:rsid w:val="00A81112"/>
    <w:rsid w:val="00A82EA3"/>
    <w:rsid w:val="00A93D0F"/>
    <w:rsid w:val="00A954F0"/>
    <w:rsid w:val="00AA5354"/>
    <w:rsid w:val="00AA6B47"/>
    <w:rsid w:val="00AA76EA"/>
    <w:rsid w:val="00AC477F"/>
    <w:rsid w:val="00AD4E4F"/>
    <w:rsid w:val="00AE20C1"/>
    <w:rsid w:val="00AE5EC0"/>
    <w:rsid w:val="00B01379"/>
    <w:rsid w:val="00B21FF9"/>
    <w:rsid w:val="00B2277C"/>
    <w:rsid w:val="00B51F42"/>
    <w:rsid w:val="00B52855"/>
    <w:rsid w:val="00B649D6"/>
    <w:rsid w:val="00BB00FA"/>
    <w:rsid w:val="00BD0004"/>
    <w:rsid w:val="00BD2B51"/>
    <w:rsid w:val="00BD7375"/>
    <w:rsid w:val="00BF0742"/>
    <w:rsid w:val="00C00E4B"/>
    <w:rsid w:val="00C111A2"/>
    <w:rsid w:val="00C13B6B"/>
    <w:rsid w:val="00C205A7"/>
    <w:rsid w:val="00C2586A"/>
    <w:rsid w:val="00C361EE"/>
    <w:rsid w:val="00C379FD"/>
    <w:rsid w:val="00C61189"/>
    <w:rsid w:val="00C67644"/>
    <w:rsid w:val="00C81A68"/>
    <w:rsid w:val="00C86BE8"/>
    <w:rsid w:val="00C87501"/>
    <w:rsid w:val="00CB2AF6"/>
    <w:rsid w:val="00CD4BF6"/>
    <w:rsid w:val="00CD77AD"/>
    <w:rsid w:val="00CE3C08"/>
    <w:rsid w:val="00CE4F2C"/>
    <w:rsid w:val="00CE6AD5"/>
    <w:rsid w:val="00D10C96"/>
    <w:rsid w:val="00D213FD"/>
    <w:rsid w:val="00D4454D"/>
    <w:rsid w:val="00D469C6"/>
    <w:rsid w:val="00D65C30"/>
    <w:rsid w:val="00D664A6"/>
    <w:rsid w:val="00D74C74"/>
    <w:rsid w:val="00DA045C"/>
    <w:rsid w:val="00DA3F02"/>
    <w:rsid w:val="00DC326B"/>
    <w:rsid w:val="00DC7AEA"/>
    <w:rsid w:val="00DD6457"/>
    <w:rsid w:val="00DD73BF"/>
    <w:rsid w:val="00DE2010"/>
    <w:rsid w:val="00DF0892"/>
    <w:rsid w:val="00E048CB"/>
    <w:rsid w:val="00E23C48"/>
    <w:rsid w:val="00E37C47"/>
    <w:rsid w:val="00E434E9"/>
    <w:rsid w:val="00E507CD"/>
    <w:rsid w:val="00E74CAB"/>
    <w:rsid w:val="00E80953"/>
    <w:rsid w:val="00E839DC"/>
    <w:rsid w:val="00E849BD"/>
    <w:rsid w:val="00E919BC"/>
    <w:rsid w:val="00EA01F1"/>
    <w:rsid w:val="00EB0FD7"/>
    <w:rsid w:val="00EC20ED"/>
    <w:rsid w:val="00EC2F95"/>
    <w:rsid w:val="00EE510B"/>
    <w:rsid w:val="00F0411D"/>
    <w:rsid w:val="00F13B08"/>
    <w:rsid w:val="00F15506"/>
    <w:rsid w:val="00F201B2"/>
    <w:rsid w:val="00F24E0A"/>
    <w:rsid w:val="00F27614"/>
    <w:rsid w:val="00F33803"/>
    <w:rsid w:val="00F44945"/>
    <w:rsid w:val="00F53BA5"/>
    <w:rsid w:val="00F708A9"/>
    <w:rsid w:val="00F813DF"/>
    <w:rsid w:val="00F92914"/>
    <w:rsid w:val="00FB54E9"/>
    <w:rsid w:val="00FB7BB7"/>
    <w:rsid w:val="00FC2146"/>
    <w:rsid w:val="00FE3ED1"/>
    <w:rsid w:val="12268F53"/>
    <w:rsid w:val="19067A6F"/>
    <w:rsid w:val="19795ADD"/>
    <w:rsid w:val="1CB0A71A"/>
    <w:rsid w:val="282E921A"/>
    <w:rsid w:val="2ECAA9F2"/>
    <w:rsid w:val="36BC937A"/>
    <w:rsid w:val="3FFA9A9B"/>
    <w:rsid w:val="412A3807"/>
    <w:rsid w:val="4ED8B324"/>
    <w:rsid w:val="4FD879B8"/>
    <w:rsid w:val="53737107"/>
    <w:rsid w:val="58737098"/>
    <w:rsid w:val="58BFD786"/>
    <w:rsid w:val="6A00519D"/>
    <w:rsid w:val="732B8EB1"/>
    <w:rsid w:val="7556DC93"/>
    <w:rsid w:val="774F9D50"/>
    <w:rsid w:val="7DA18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C741E"/>
  <w15:chartTrackingRefBased/>
  <w15:docId w15:val="{AF7C4A5C-EC40-4A5B-A1BD-590E1F37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A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1EC5"/>
    <w:rPr>
      <w:color w:val="0563C1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D4E4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24E5"/>
    <w:pPr>
      <w:tabs>
        <w:tab w:val="center" w:pos="4536"/>
        <w:tab w:val="right" w:pos="9072"/>
      </w:tabs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276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6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76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6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76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6CA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2424E5"/>
  </w:style>
  <w:style w:type="paragraph" w:styleId="Zpat">
    <w:name w:val="footer"/>
    <w:basedOn w:val="Normln"/>
    <w:link w:val="ZpatChar"/>
    <w:uiPriority w:val="99"/>
    <w:unhideWhenUsed/>
    <w:rsid w:val="00242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4E5"/>
  </w:style>
  <w:style w:type="character" w:styleId="Nevyeenzmnka">
    <w:name w:val="Unresolved Mention"/>
    <w:basedOn w:val="Standardnpsmoodstavce"/>
    <w:uiPriority w:val="99"/>
    <w:semiHidden/>
    <w:unhideWhenUsed/>
    <w:rsid w:val="00531CF0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7D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dka.turkova@praguecc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e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aguecc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Fiala Tomáš</DisplayName>
        <AccountId>4233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9ea548533751ca59223bf4174278483a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19da2736f3f61a501773b5bd641c3cdc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EC6C46-E267-4B96-8A54-C1E5A7671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080DF-10A2-40E9-96EF-BA61B00615AE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3.xml><?xml version="1.0" encoding="utf-8"?>
<ds:datastoreItem xmlns:ds="http://schemas.openxmlformats.org/officeDocument/2006/customXml" ds:itemID="{9090A7A4-67F7-49F1-926A-B0CF21FB4F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59AFB-61D8-4236-B723-A03A63BAB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Fiala</dc:creator>
  <cp:keywords/>
  <dc:description/>
  <cp:lastModifiedBy>Fiala Tomáš</cp:lastModifiedBy>
  <cp:revision>2</cp:revision>
  <dcterms:created xsi:type="dcterms:W3CDTF">2022-06-17T06:54:00Z</dcterms:created>
  <dcterms:modified xsi:type="dcterms:W3CDTF">2022-06-17T06:54:00Z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</Properties>
</file>